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4BB75E" w14:textId="0C9B830D" w:rsidR="00007CAB" w:rsidRPr="006F452E" w:rsidRDefault="00D04E8A" w:rsidP="00A66447">
      <w:pPr>
        <w:bidi/>
        <w:spacing w:line="360" w:lineRule="auto"/>
        <w:jc w:val="both"/>
        <w:rPr>
          <w:rFonts w:ascii="David" w:hAnsi="David" w:cs="David"/>
          <w:sz w:val="24"/>
          <w:szCs w:val="24"/>
          <w:rtl/>
        </w:rPr>
      </w:pPr>
      <w:r w:rsidRPr="00851760">
        <w:rPr>
          <w:rFonts w:ascii="David" w:hAnsi="David" w:cs="David"/>
          <w:color w:val="FF0000"/>
          <w:sz w:val="24"/>
          <w:szCs w:val="24"/>
          <w:rtl/>
        </w:rPr>
        <w:t xml:space="preserve">התערבות המדינה בשיח הציבורי ברשת האינטרנט היא התערבות בחופש הביטוי של אזרחי המדינה ובזכות שלהם לצרוך מידע, זו פגיעה משמעותית בזכויות יסוד. כפי שפסק בית המשפט ליחידת הסייבר בפרקליטות </w:t>
      </w:r>
      <w:r w:rsidR="00ED1304" w:rsidRPr="00851760">
        <w:rPr>
          <w:rFonts w:ascii="David" w:hAnsi="David" w:cs="David"/>
          <w:color w:val="FF0000"/>
          <w:sz w:val="24"/>
          <w:szCs w:val="24"/>
          <w:highlight w:val="yellow"/>
          <w:rtl/>
        </w:rPr>
        <w:t>אין</w:t>
      </w:r>
      <w:r w:rsidRPr="00851760">
        <w:rPr>
          <w:rFonts w:ascii="David" w:hAnsi="David" w:cs="David"/>
          <w:color w:val="FF0000"/>
          <w:sz w:val="24"/>
          <w:szCs w:val="24"/>
          <w:highlight w:val="yellow"/>
          <w:rtl/>
        </w:rPr>
        <w:t xml:space="preserve"> סמכות</w:t>
      </w:r>
      <w:r w:rsidRPr="00851760">
        <w:rPr>
          <w:rFonts w:ascii="David" w:hAnsi="David" w:cs="David"/>
          <w:color w:val="FF0000"/>
          <w:sz w:val="24"/>
          <w:szCs w:val="24"/>
          <w:rtl/>
        </w:rPr>
        <w:t xml:space="preserve"> לעשות כן </w:t>
      </w:r>
      <w:r w:rsidR="00ED1304" w:rsidRPr="00851760">
        <w:rPr>
          <w:rFonts w:ascii="David" w:hAnsi="David" w:cs="David"/>
          <w:color w:val="FF0000"/>
          <w:sz w:val="24"/>
          <w:szCs w:val="24"/>
          <w:rtl/>
        </w:rPr>
        <w:t>אלא אם סמכות זו תוסדר באופן מפורש בחקיקה.</w:t>
      </w:r>
      <w:r w:rsidR="00851760">
        <w:rPr>
          <w:rFonts w:ascii="David" w:hAnsi="David" w:cs="David" w:hint="cs"/>
          <w:sz w:val="24"/>
          <w:szCs w:val="24"/>
          <w:rtl/>
        </w:rPr>
        <w:t xml:space="preserve"> </w:t>
      </w:r>
    </w:p>
    <w:p w14:paraId="6E212997" w14:textId="77777777" w:rsidR="00A66447" w:rsidRPr="00851760" w:rsidRDefault="00007CAB" w:rsidP="00A66447">
      <w:pPr>
        <w:bidi/>
        <w:spacing w:line="360" w:lineRule="auto"/>
        <w:jc w:val="both"/>
        <w:rPr>
          <w:rFonts w:ascii="David" w:hAnsi="David" w:cs="David"/>
          <w:color w:val="70AD47" w:themeColor="accent6"/>
          <w:sz w:val="24"/>
          <w:szCs w:val="24"/>
          <w:rtl/>
        </w:rPr>
      </w:pPr>
      <w:r w:rsidRPr="00851760">
        <w:rPr>
          <w:rFonts w:ascii="David" w:hAnsi="David" w:cs="David"/>
          <w:color w:val="70AD47" w:themeColor="accent6"/>
          <w:sz w:val="24"/>
          <w:szCs w:val="24"/>
          <w:rtl/>
        </w:rPr>
        <w:t xml:space="preserve">התערבות המדינה בשיח הציבורי ברשת האינטרנט היא התערבות בחופש הביטוי של אזרחי המדינה ובזכות שלהם לצרוך מידע, זו פגיעה משמעותית בזכויות יסוד. גם אם כפי שפסק בית המשפט ליחידת הסייבר בפרקליטות </w:t>
      </w:r>
      <w:r w:rsidRPr="00851760">
        <w:rPr>
          <w:rFonts w:ascii="David" w:hAnsi="David" w:cs="David"/>
          <w:color w:val="70AD47" w:themeColor="accent6"/>
          <w:sz w:val="24"/>
          <w:szCs w:val="24"/>
          <w:highlight w:val="yellow"/>
          <w:rtl/>
        </w:rPr>
        <w:t>ישנה סמכות לעשות</w:t>
      </w:r>
      <w:r w:rsidRPr="00851760">
        <w:rPr>
          <w:rFonts w:ascii="David" w:hAnsi="David" w:cs="David"/>
          <w:color w:val="70AD47" w:themeColor="accent6"/>
          <w:sz w:val="24"/>
          <w:szCs w:val="24"/>
          <w:rtl/>
        </w:rPr>
        <w:t xml:space="preserve"> כן במקרים </w:t>
      </w:r>
      <w:proofErr w:type="spellStart"/>
      <w:r w:rsidRPr="00851760">
        <w:rPr>
          <w:rFonts w:ascii="David" w:hAnsi="David" w:cs="David"/>
          <w:color w:val="70AD47" w:themeColor="accent6"/>
          <w:sz w:val="24"/>
          <w:szCs w:val="24"/>
          <w:rtl/>
        </w:rPr>
        <w:t>מסויימים</w:t>
      </w:r>
      <w:proofErr w:type="spellEnd"/>
      <w:r w:rsidRPr="00851760">
        <w:rPr>
          <w:rFonts w:ascii="David" w:hAnsi="David" w:cs="David"/>
          <w:color w:val="70AD47" w:themeColor="accent6"/>
          <w:sz w:val="24"/>
          <w:szCs w:val="24"/>
          <w:rtl/>
        </w:rPr>
        <w:t xml:space="preserve">, אופן הפעולה של יחידת הסייבר הוא קריטי. </w:t>
      </w:r>
    </w:p>
    <w:p w14:paraId="778E6B0E" w14:textId="6B70C937" w:rsidR="00007CAB" w:rsidRPr="006F452E" w:rsidRDefault="00ED1304" w:rsidP="00A66447">
      <w:pPr>
        <w:bidi/>
        <w:spacing w:line="360" w:lineRule="auto"/>
        <w:jc w:val="both"/>
        <w:rPr>
          <w:rFonts w:ascii="David" w:hAnsi="David" w:cs="David"/>
          <w:sz w:val="24"/>
          <w:szCs w:val="24"/>
          <w:rtl/>
        </w:rPr>
      </w:pPr>
      <w:r w:rsidRPr="006F452E">
        <w:rPr>
          <w:rFonts w:ascii="David" w:hAnsi="David" w:cs="David"/>
          <w:sz w:val="24"/>
          <w:szCs w:val="24"/>
          <w:rtl/>
        </w:rPr>
        <w:t>בכל נוגע להסדרת הסמכות של יחידת הסייבר,</w:t>
      </w:r>
      <w:r w:rsidR="00D04E8A" w:rsidRPr="006F452E">
        <w:rPr>
          <w:rFonts w:ascii="David" w:hAnsi="David" w:cs="David"/>
          <w:sz w:val="24"/>
          <w:szCs w:val="24"/>
          <w:rtl/>
        </w:rPr>
        <w:t xml:space="preserve"> אופן הפעולה של יחידת הסייבר הוא קריטי</w:t>
      </w:r>
      <w:r w:rsidR="00007CAB" w:rsidRPr="006F452E">
        <w:rPr>
          <w:rFonts w:ascii="David" w:hAnsi="David" w:cs="David"/>
          <w:sz w:val="24"/>
          <w:szCs w:val="24"/>
          <w:rtl/>
        </w:rPr>
        <w:t>, ו</w:t>
      </w:r>
      <w:r w:rsidR="00D04E8A" w:rsidRPr="006F452E">
        <w:rPr>
          <w:rFonts w:ascii="David" w:hAnsi="David" w:cs="David"/>
          <w:sz w:val="24"/>
          <w:szCs w:val="24"/>
          <w:rtl/>
        </w:rPr>
        <w:t>אנו מברכים על קביעת בית המשפט לפיה,</w:t>
      </w:r>
      <w:r w:rsidRPr="006F452E">
        <w:rPr>
          <w:rFonts w:ascii="David" w:hAnsi="David" w:cs="David"/>
          <w:sz w:val="24"/>
          <w:szCs w:val="24"/>
          <w:rtl/>
        </w:rPr>
        <w:t xml:space="preserve"> בשים לב לפגיעה בזכויות - </w:t>
      </w:r>
      <w:r w:rsidR="00D04E8A" w:rsidRPr="006F452E">
        <w:rPr>
          <w:rFonts w:ascii="David" w:hAnsi="David" w:cs="David"/>
          <w:sz w:val="24"/>
          <w:szCs w:val="24"/>
          <w:rtl/>
        </w:rPr>
        <w:t xml:space="preserve">פעולות כאלה ניתן לבצע רק </w:t>
      </w:r>
      <w:r w:rsidR="00D04E8A" w:rsidRPr="00A66447">
        <w:rPr>
          <w:rFonts w:ascii="David" w:hAnsi="David" w:cs="David"/>
          <w:sz w:val="24"/>
          <w:szCs w:val="24"/>
          <w:u w:val="single"/>
          <w:rtl/>
        </w:rPr>
        <w:t>באופן גלוי ושקוף,</w:t>
      </w:r>
      <w:r w:rsidR="00D04E8A" w:rsidRPr="006F452E">
        <w:rPr>
          <w:rFonts w:ascii="David" w:hAnsi="David" w:cs="David"/>
          <w:sz w:val="24"/>
          <w:szCs w:val="24"/>
          <w:rtl/>
        </w:rPr>
        <w:t xml:space="preserve"> המאפשר פיקוח ציבורי וביקורת. הפרקליטות</w:t>
      </w:r>
      <w:r w:rsidR="00007CAB" w:rsidRPr="006F452E">
        <w:rPr>
          <w:rFonts w:ascii="David" w:hAnsi="David" w:cs="David"/>
          <w:sz w:val="24"/>
          <w:szCs w:val="24"/>
          <w:rtl/>
        </w:rPr>
        <w:t xml:space="preserve"> באמצעות מחלקת הסייבר</w:t>
      </w:r>
      <w:r w:rsidR="00D04E8A" w:rsidRPr="006F452E">
        <w:rPr>
          <w:rFonts w:ascii="David" w:hAnsi="David" w:cs="David"/>
          <w:sz w:val="24"/>
          <w:szCs w:val="24"/>
          <w:rtl/>
        </w:rPr>
        <w:t xml:space="preserve"> (ב</w:t>
      </w:r>
      <w:r w:rsidR="00007CAB" w:rsidRPr="006F452E">
        <w:rPr>
          <w:rFonts w:ascii="David" w:hAnsi="David" w:cs="David"/>
          <w:sz w:val="24"/>
          <w:szCs w:val="24"/>
          <w:rtl/>
        </w:rPr>
        <w:t>שונה</w:t>
      </w:r>
      <w:r w:rsidR="00D04E8A" w:rsidRPr="006F452E">
        <w:rPr>
          <w:rFonts w:ascii="David" w:hAnsi="David" w:cs="David"/>
          <w:sz w:val="24"/>
          <w:szCs w:val="24"/>
          <w:rtl/>
        </w:rPr>
        <w:t xml:space="preserve"> לחברות הפרטיות) מחויבת לפעול לפי חוק חופש המידע</w:t>
      </w:r>
      <w:r w:rsidR="00007CAB" w:rsidRPr="006F452E">
        <w:rPr>
          <w:rFonts w:ascii="David" w:hAnsi="David" w:cs="David"/>
          <w:sz w:val="24"/>
          <w:szCs w:val="24"/>
          <w:rtl/>
        </w:rPr>
        <w:t xml:space="preserve"> ובהתאם לחובות מסוימות של דיווחיות ואחריות כלפי הציבור</w:t>
      </w:r>
      <w:r w:rsidR="00D04E8A" w:rsidRPr="006F452E">
        <w:rPr>
          <w:rFonts w:ascii="David" w:hAnsi="David" w:cs="David"/>
          <w:sz w:val="24"/>
          <w:szCs w:val="24"/>
          <w:rtl/>
        </w:rPr>
        <w:t xml:space="preserve">. </w:t>
      </w:r>
      <w:r w:rsidRPr="006F452E">
        <w:rPr>
          <w:rFonts w:ascii="David" w:hAnsi="David" w:cs="David"/>
          <w:sz w:val="24"/>
          <w:szCs w:val="24"/>
          <w:rtl/>
        </w:rPr>
        <w:t>בית המשפט קיבל את עמד</w:t>
      </w:r>
      <w:r w:rsidR="00007CAB" w:rsidRPr="006F452E">
        <w:rPr>
          <w:rFonts w:ascii="David" w:hAnsi="David" w:cs="David"/>
          <w:sz w:val="24"/>
          <w:szCs w:val="24"/>
          <w:rtl/>
        </w:rPr>
        <w:t xml:space="preserve">ת התנועה לחופש המידע, באמצעות עו"ד דנה יפה, </w:t>
      </w:r>
      <w:r w:rsidR="00015248">
        <w:rPr>
          <w:rFonts w:ascii="David" w:hAnsi="David" w:cs="David" w:hint="cs"/>
          <w:sz w:val="24"/>
          <w:szCs w:val="24"/>
          <w:rtl/>
        </w:rPr>
        <w:t xml:space="preserve">מהקליניקה לזכויות אדם בין לאומיות באוניברסיטה העברית בירושלים, </w:t>
      </w:r>
      <w:r w:rsidRPr="006F452E">
        <w:rPr>
          <w:rFonts w:ascii="David" w:hAnsi="David" w:cs="David"/>
          <w:sz w:val="24"/>
          <w:szCs w:val="24"/>
          <w:rtl/>
        </w:rPr>
        <w:t xml:space="preserve">לפיה </w:t>
      </w:r>
      <w:r w:rsidR="00D04E8A" w:rsidRPr="006F452E">
        <w:rPr>
          <w:rFonts w:ascii="David" w:hAnsi="David" w:cs="David"/>
          <w:sz w:val="24"/>
          <w:szCs w:val="24"/>
          <w:rtl/>
        </w:rPr>
        <w:t>על הפרקליטות לחדול מהתנהלות תמוהה</w:t>
      </w:r>
      <w:r w:rsidR="00851760">
        <w:rPr>
          <w:rFonts w:ascii="David" w:hAnsi="David" w:cs="David" w:hint="cs"/>
          <w:sz w:val="24"/>
          <w:szCs w:val="24"/>
          <w:rtl/>
        </w:rPr>
        <w:t>,</w:t>
      </w:r>
      <w:r w:rsidRPr="006F452E">
        <w:rPr>
          <w:rFonts w:ascii="David" w:hAnsi="David" w:cs="David"/>
          <w:color w:val="FF0000"/>
          <w:sz w:val="24"/>
          <w:szCs w:val="24"/>
          <w:rtl/>
        </w:rPr>
        <w:t xml:space="preserve"> </w:t>
      </w:r>
      <w:r w:rsidR="00D04E8A" w:rsidRPr="006F452E">
        <w:rPr>
          <w:rFonts w:ascii="David" w:hAnsi="David" w:cs="David"/>
          <w:sz w:val="24"/>
          <w:szCs w:val="24"/>
          <w:rtl/>
        </w:rPr>
        <w:t>שבה אין תיעוד לתוכן שהפרקליטות מבקשת להסיר</w:t>
      </w:r>
      <w:r w:rsidR="00851760">
        <w:rPr>
          <w:rFonts w:ascii="David" w:hAnsi="David" w:cs="David" w:hint="cs"/>
          <w:sz w:val="24"/>
          <w:szCs w:val="24"/>
          <w:rtl/>
        </w:rPr>
        <w:t xml:space="preserve">, </w:t>
      </w:r>
      <w:r w:rsidR="00851760" w:rsidRPr="00851760">
        <w:rPr>
          <w:rFonts w:ascii="David" w:hAnsi="David" w:cs="David" w:hint="cs"/>
          <w:color w:val="70AD47" w:themeColor="accent6"/>
          <w:sz w:val="24"/>
          <w:szCs w:val="24"/>
          <w:highlight w:val="yellow"/>
          <w:rtl/>
        </w:rPr>
        <w:t>ומורה על הפסקת</w:t>
      </w:r>
      <w:r w:rsidR="00851760">
        <w:rPr>
          <w:rFonts w:ascii="David" w:hAnsi="David" w:cs="David" w:hint="cs"/>
          <w:color w:val="70AD47" w:themeColor="accent6"/>
          <w:sz w:val="24"/>
          <w:szCs w:val="24"/>
          <w:highlight w:val="yellow"/>
          <w:rtl/>
        </w:rPr>
        <w:t xml:space="preserve"> אופן התנהלות זה</w:t>
      </w:r>
      <w:r w:rsidR="00D04E8A" w:rsidRPr="006F452E">
        <w:rPr>
          <w:rFonts w:ascii="David" w:hAnsi="David" w:cs="David"/>
          <w:sz w:val="24"/>
          <w:szCs w:val="24"/>
          <w:rtl/>
        </w:rPr>
        <w:t xml:space="preserve">. </w:t>
      </w:r>
    </w:p>
    <w:p w14:paraId="004BDD59" w14:textId="2025F0F4" w:rsidR="00D04E8A" w:rsidRPr="006F452E" w:rsidRDefault="00D04E8A" w:rsidP="006F452E">
      <w:pPr>
        <w:bidi/>
        <w:spacing w:line="360" w:lineRule="auto"/>
        <w:jc w:val="both"/>
        <w:rPr>
          <w:rFonts w:ascii="David" w:hAnsi="David" w:cs="David"/>
          <w:sz w:val="24"/>
          <w:szCs w:val="24"/>
        </w:rPr>
      </w:pPr>
      <w:r w:rsidRPr="006F452E">
        <w:rPr>
          <w:rFonts w:ascii="David" w:hAnsi="David" w:cs="David"/>
          <w:b/>
          <w:bCs/>
          <w:sz w:val="24"/>
          <w:szCs w:val="24"/>
          <w:rtl/>
        </w:rPr>
        <w:t>שקיפות אינה בינארית</w:t>
      </w:r>
      <w:r w:rsidRPr="006F452E">
        <w:rPr>
          <w:rFonts w:ascii="David" w:hAnsi="David" w:cs="David"/>
          <w:sz w:val="24"/>
          <w:szCs w:val="24"/>
          <w:rtl/>
        </w:rPr>
        <w:t xml:space="preserve"> - גם אם ניתן לטעון שיש פרטים שהמדינה לא יכולה למסור (לדוגמא מידע שפוגע בפרטיות או מידע שמעמיד בסכנה בטחון של אדם), קשה לטעון שלא ניתן למסור שום פרט אודות התוכן הזה. עד ליום מתן פסק הדין, למעשה </w:t>
      </w:r>
      <w:r w:rsidR="00015248">
        <w:rPr>
          <w:rFonts w:ascii="David" w:hAnsi="David" w:cs="David" w:hint="cs"/>
          <w:sz w:val="24"/>
          <w:szCs w:val="24"/>
          <w:rtl/>
        </w:rPr>
        <w:t xml:space="preserve">לא </w:t>
      </w:r>
      <w:proofErr w:type="spellStart"/>
      <w:r w:rsidR="00015248">
        <w:rPr>
          <w:rFonts w:ascii="David" w:hAnsi="David" w:cs="David" w:hint="cs"/>
          <w:sz w:val="24"/>
          <w:szCs w:val="24"/>
          <w:rtl/>
        </w:rPr>
        <w:t>היתה</w:t>
      </w:r>
      <w:proofErr w:type="spellEnd"/>
      <w:r w:rsidRPr="006F452E">
        <w:rPr>
          <w:rFonts w:ascii="David" w:hAnsi="David" w:cs="David"/>
          <w:sz w:val="24"/>
          <w:szCs w:val="24"/>
          <w:rtl/>
        </w:rPr>
        <w:t xml:space="preserve"> לציבור בישראל כל דרך לדעת כיצד המדינה מתנהלת בבקשות אלה, מה לפרשנותה מהווה תוכן שצריך להסיר, האם היא פועלת רק כאשר מדובר לשיטתה בעבירה פלילית, האם יש הטיות ואכיפה בררנית לטובת קבוצה מסוימת או רעיון מסוים, האם פערי שפה ותרבות מובילים לשגיאות כלפי אוכלוסייה מסוימת, </w:t>
      </w:r>
      <w:proofErr w:type="spellStart"/>
      <w:r w:rsidRPr="006F452E">
        <w:rPr>
          <w:rFonts w:ascii="David" w:hAnsi="David" w:cs="David"/>
          <w:sz w:val="24"/>
          <w:szCs w:val="24"/>
          <w:rtl/>
        </w:rPr>
        <w:t>וכו</w:t>
      </w:r>
      <w:proofErr w:type="spellEnd"/>
      <w:r w:rsidRPr="006F452E">
        <w:rPr>
          <w:rFonts w:ascii="David" w:hAnsi="David" w:cs="David"/>
          <w:sz w:val="24"/>
          <w:szCs w:val="24"/>
        </w:rPr>
        <w:t xml:space="preserve">'. </w:t>
      </w:r>
    </w:p>
    <w:p w14:paraId="15749DD1" w14:textId="77777777" w:rsidR="00015248" w:rsidRDefault="00D04E8A" w:rsidP="00015248">
      <w:pPr>
        <w:bidi/>
        <w:spacing w:line="360" w:lineRule="auto"/>
        <w:jc w:val="both"/>
        <w:rPr>
          <w:rFonts w:ascii="David" w:hAnsi="David" w:cs="David"/>
          <w:sz w:val="24"/>
          <w:szCs w:val="24"/>
          <w:highlight w:val="yellow"/>
          <w:rtl/>
        </w:rPr>
      </w:pPr>
      <w:r w:rsidRPr="006F452E">
        <w:rPr>
          <w:rFonts w:ascii="David" w:hAnsi="David" w:cs="David"/>
          <w:sz w:val="24"/>
          <w:szCs w:val="24"/>
          <w:rtl/>
        </w:rPr>
        <w:t xml:space="preserve">כפי שהליך בקשות הסרת התכנים התנהל עד היום בפרקליטות, הכרעות דרמטיות לגבי היקף הזכות לחופש הביטוי והאיזון בין הזכות הזו אל מול אינטרסים וזכויות אחרות, הכרעות שפעם היו מתקבלות בהרכב מורחב בבית המשפט העליון, וזוכות להד ציבורי משמעותי, התקבלו על ידי פרקליט, ללא כל פיקוח חיצוני, גם לא פיקוח של בית משפט, מלבד "פיקוח" של חברות פרטיות שהאינטרסים שלהם הם אינטרסים עסקיים, </w:t>
      </w:r>
      <w:r w:rsidR="005E3361">
        <w:rPr>
          <w:rFonts w:ascii="David" w:hAnsi="David" w:cs="David" w:hint="cs"/>
          <w:sz w:val="24"/>
          <w:szCs w:val="24"/>
          <w:rtl/>
        </w:rPr>
        <w:t>וכאשר מערכת הדינים שחלה עליהם היא מורכבת ואינה ה</w:t>
      </w:r>
      <w:r w:rsidRPr="006F452E">
        <w:rPr>
          <w:rFonts w:ascii="David" w:hAnsi="David" w:cs="David"/>
          <w:sz w:val="24"/>
          <w:szCs w:val="24"/>
          <w:rtl/>
        </w:rPr>
        <w:t>חוק הישראלי</w:t>
      </w:r>
      <w:r w:rsidRPr="006F452E">
        <w:rPr>
          <w:rFonts w:ascii="David" w:hAnsi="David" w:cs="David"/>
          <w:sz w:val="24"/>
          <w:szCs w:val="24"/>
        </w:rPr>
        <w:t>.</w:t>
      </w:r>
      <w:r w:rsidRPr="006F452E">
        <w:rPr>
          <w:rFonts w:ascii="David" w:hAnsi="David" w:cs="David"/>
          <w:sz w:val="24"/>
          <w:szCs w:val="24"/>
          <w:rtl/>
        </w:rPr>
        <w:t xml:space="preserve"> פניה של המדינה לגופים פרטיים "בבקשות" להסרת תכנים מאפשרת לה לעקוף את כל האיזונים הקבועים במשפט ה</w:t>
      </w:r>
      <w:r w:rsidR="005E3361">
        <w:rPr>
          <w:rFonts w:ascii="David" w:hAnsi="David" w:cs="David" w:hint="cs"/>
          <w:sz w:val="24"/>
          <w:szCs w:val="24"/>
          <w:rtl/>
        </w:rPr>
        <w:t>מנהלי</w:t>
      </w:r>
      <w:r w:rsidRPr="006F452E">
        <w:rPr>
          <w:rFonts w:ascii="David" w:hAnsi="David" w:cs="David"/>
          <w:sz w:val="24"/>
          <w:szCs w:val="24"/>
          <w:rtl/>
        </w:rPr>
        <w:t xml:space="preserve"> הישראלי שנועדו להגן על זכויות היסוד שלנו</w:t>
      </w:r>
      <w:r w:rsidRPr="006F452E">
        <w:rPr>
          <w:rFonts w:ascii="David" w:hAnsi="David" w:cs="David"/>
          <w:sz w:val="24"/>
          <w:szCs w:val="24"/>
        </w:rPr>
        <w:t>.</w:t>
      </w:r>
      <w:r w:rsidRPr="006F452E">
        <w:rPr>
          <w:rFonts w:ascii="David" w:hAnsi="David" w:cs="David"/>
          <w:sz w:val="24"/>
          <w:szCs w:val="24"/>
          <w:rtl/>
        </w:rPr>
        <w:t xml:space="preserve"> </w:t>
      </w:r>
      <w:r w:rsidR="00ED1304" w:rsidRPr="006F452E">
        <w:rPr>
          <w:rFonts w:ascii="David" w:hAnsi="David" w:cs="David"/>
          <w:sz w:val="24"/>
          <w:szCs w:val="24"/>
          <w:rtl/>
        </w:rPr>
        <w:t xml:space="preserve">כל זאת, מבלי שהמחוקק הישראלי נדרש לסוגיה </w:t>
      </w:r>
      <w:r w:rsidR="00ED1304" w:rsidRPr="00851760">
        <w:rPr>
          <w:rFonts w:ascii="David" w:hAnsi="David" w:cs="David"/>
          <w:sz w:val="24"/>
          <w:szCs w:val="24"/>
          <w:rtl/>
        </w:rPr>
        <w:t>זו.</w:t>
      </w:r>
      <w:r w:rsidR="00ED1304" w:rsidRPr="003534F3">
        <w:rPr>
          <w:rFonts w:ascii="David" w:hAnsi="David" w:cs="David"/>
          <w:sz w:val="24"/>
          <w:szCs w:val="24"/>
          <w:highlight w:val="yellow"/>
          <w:rtl/>
        </w:rPr>
        <w:t xml:space="preserve"> </w:t>
      </w:r>
    </w:p>
    <w:p w14:paraId="445523E7" w14:textId="7D67E226" w:rsidR="00015248" w:rsidRPr="00015248" w:rsidRDefault="00D04E8A" w:rsidP="00015248">
      <w:pPr>
        <w:bidi/>
        <w:spacing w:line="360" w:lineRule="auto"/>
        <w:jc w:val="both"/>
        <w:rPr>
          <w:rFonts w:ascii="David" w:hAnsi="David" w:cs="David"/>
          <w:color w:val="00B050"/>
          <w:sz w:val="24"/>
          <w:szCs w:val="24"/>
        </w:rPr>
      </w:pPr>
      <w:r w:rsidRPr="00015248">
        <w:rPr>
          <w:rFonts w:ascii="David" w:hAnsi="David" w:cs="David"/>
          <w:color w:val="00B050"/>
          <w:sz w:val="24"/>
          <w:szCs w:val="24"/>
          <w:highlight w:val="yellow"/>
          <w:rtl/>
        </w:rPr>
        <w:t>נקווה כי מהיום</w:t>
      </w:r>
      <w:r w:rsidR="003534F3" w:rsidRPr="00015248">
        <w:rPr>
          <w:rFonts w:ascii="David" w:hAnsi="David" w:cs="David" w:hint="cs"/>
          <w:color w:val="00B050"/>
          <w:sz w:val="24"/>
          <w:szCs w:val="24"/>
          <w:highlight w:val="yellow"/>
          <w:rtl/>
        </w:rPr>
        <w:t xml:space="preserve"> ונוכח פסיקתו התקדימית של בהמ"ש העליון,</w:t>
      </w:r>
      <w:r w:rsidRPr="00015248">
        <w:rPr>
          <w:rFonts w:ascii="David" w:hAnsi="David" w:cs="David"/>
          <w:color w:val="00B050"/>
          <w:sz w:val="24"/>
          <w:szCs w:val="24"/>
          <w:highlight w:val="yellow"/>
          <w:rtl/>
        </w:rPr>
        <w:t xml:space="preserve"> יתאפשר </w:t>
      </w:r>
      <w:r w:rsidR="003534F3" w:rsidRPr="00015248">
        <w:rPr>
          <w:rFonts w:ascii="David" w:hAnsi="David" w:cs="David" w:hint="cs"/>
          <w:color w:val="00B050"/>
          <w:sz w:val="24"/>
          <w:szCs w:val="24"/>
          <w:highlight w:val="yellow"/>
          <w:rtl/>
        </w:rPr>
        <w:t xml:space="preserve">לציבור לקבל </w:t>
      </w:r>
      <w:r w:rsidRPr="00015248">
        <w:rPr>
          <w:rFonts w:ascii="David" w:hAnsi="David" w:cs="David"/>
          <w:color w:val="00B050"/>
          <w:sz w:val="24"/>
          <w:szCs w:val="24"/>
          <w:highlight w:val="yellow"/>
          <w:rtl/>
        </w:rPr>
        <w:t>פיקוח אפקטיבי יותר על פעילות היחידה.</w:t>
      </w:r>
      <w:r w:rsidRPr="00015248">
        <w:rPr>
          <w:rFonts w:ascii="David" w:hAnsi="David" w:cs="David"/>
          <w:color w:val="00B050"/>
          <w:sz w:val="24"/>
          <w:szCs w:val="24"/>
          <w:rtl/>
        </w:rPr>
        <w:t xml:space="preserve"> </w:t>
      </w:r>
      <w:r w:rsidR="00015248">
        <w:rPr>
          <w:rFonts w:ascii="David" w:hAnsi="David" w:cs="David" w:hint="cs"/>
          <w:color w:val="00B050"/>
          <w:sz w:val="24"/>
          <w:szCs w:val="24"/>
          <w:rtl/>
        </w:rPr>
        <w:t xml:space="preserve">/ </w:t>
      </w:r>
      <w:r w:rsidR="00015248" w:rsidRPr="00015248">
        <w:rPr>
          <w:rFonts w:ascii="David" w:hAnsi="David" w:cs="David" w:hint="cs"/>
          <w:color w:val="FF0000"/>
          <w:sz w:val="24"/>
          <w:szCs w:val="24"/>
          <w:highlight w:val="yellow"/>
          <w:rtl/>
        </w:rPr>
        <w:t>יש לוודא כי ככל שסמכות כזו תוסדר בחקיקה, יקבעו אמות מידה ברורות להליך הוגן ושקיפות שיאפשרו פיקוח הולם על הפרקליטות בהקשר הזה.</w:t>
      </w:r>
      <w:r w:rsidR="00015248" w:rsidRPr="00015248">
        <w:rPr>
          <w:rFonts w:ascii="David" w:hAnsi="David" w:cs="David" w:hint="cs"/>
          <w:color w:val="FF0000"/>
          <w:sz w:val="24"/>
          <w:szCs w:val="24"/>
          <w:rtl/>
        </w:rPr>
        <w:t xml:space="preserve"> </w:t>
      </w:r>
    </w:p>
    <w:p w14:paraId="70CD8B16" w14:textId="151E88EA" w:rsidR="00D04E8A" w:rsidRPr="006F452E" w:rsidRDefault="00D04E8A" w:rsidP="006F452E">
      <w:pPr>
        <w:bidi/>
        <w:spacing w:line="360" w:lineRule="auto"/>
        <w:jc w:val="both"/>
        <w:rPr>
          <w:rFonts w:ascii="David" w:hAnsi="David" w:cs="David"/>
          <w:sz w:val="24"/>
          <w:szCs w:val="24"/>
        </w:rPr>
      </w:pPr>
      <w:r w:rsidRPr="006F452E">
        <w:rPr>
          <w:rFonts w:ascii="David" w:hAnsi="David" w:cs="David"/>
          <w:sz w:val="24"/>
          <w:szCs w:val="24"/>
          <w:rtl/>
        </w:rPr>
        <w:t>בחינה שכזו הכרחית עבור המדינה, לצורך ביק</w:t>
      </w:r>
      <w:r w:rsidR="00ED1304" w:rsidRPr="006F452E">
        <w:rPr>
          <w:rFonts w:ascii="David" w:hAnsi="David" w:cs="David"/>
          <w:sz w:val="24"/>
          <w:szCs w:val="24"/>
          <w:rtl/>
        </w:rPr>
        <w:t>ו</w:t>
      </w:r>
      <w:r w:rsidRPr="006F452E">
        <w:rPr>
          <w:rFonts w:ascii="David" w:hAnsi="David" w:cs="David"/>
          <w:sz w:val="24"/>
          <w:szCs w:val="24"/>
          <w:rtl/>
        </w:rPr>
        <w:t>רת פנימית</w:t>
      </w:r>
      <w:r w:rsidR="00ED1304" w:rsidRPr="006F452E">
        <w:rPr>
          <w:rFonts w:ascii="David" w:hAnsi="David" w:cs="David"/>
          <w:sz w:val="24"/>
          <w:szCs w:val="24"/>
          <w:rtl/>
        </w:rPr>
        <w:t xml:space="preserve"> על אופן פעולת היחידה</w:t>
      </w:r>
      <w:r w:rsidRPr="006F452E">
        <w:rPr>
          <w:rFonts w:ascii="David" w:hAnsi="David" w:cs="David"/>
          <w:sz w:val="24"/>
          <w:szCs w:val="24"/>
          <w:rtl/>
        </w:rPr>
        <w:t>, ועל מנת לוודא שהפעלת שיקול הדעת שלה בהקשר זה נעשה באופן ראוי וחוקי. וכמובן, בחינה וביקורת כזו הכרחית עבור הציבור הישרא</w:t>
      </w:r>
      <w:r w:rsidR="005E3361">
        <w:rPr>
          <w:rFonts w:ascii="David" w:hAnsi="David" w:cs="David" w:hint="cs"/>
          <w:sz w:val="24"/>
          <w:szCs w:val="24"/>
          <w:rtl/>
        </w:rPr>
        <w:t>לי בזמן אמת ובדיעבד.</w:t>
      </w:r>
      <w:r w:rsidRPr="006F452E">
        <w:rPr>
          <w:rFonts w:ascii="David" w:hAnsi="David" w:cs="David"/>
          <w:sz w:val="24"/>
          <w:szCs w:val="24"/>
        </w:rPr>
        <w:t xml:space="preserve"> </w:t>
      </w:r>
    </w:p>
    <w:p w14:paraId="185DC581" w14:textId="02C2342B" w:rsidR="00D04E8A" w:rsidRPr="006F452E" w:rsidRDefault="00D04E8A" w:rsidP="006F452E">
      <w:pPr>
        <w:bidi/>
        <w:spacing w:line="360" w:lineRule="auto"/>
        <w:jc w:val="both"/>
        <w:rPr>
          <w:rFonts w:ascii="David" w:hAnsi="David" w:cs="David"/>
          <w:sz w:val="24"/>
          <w:szCs w:val="24"/>
        </w:rPr>
      </w:pPr>
      <w:r w:rsidRPr="006F452E">
        <w:rPr>
          <w:rFonts w:ascii="David" w:hAnsi="David" w:cs="David"/>
          <w:sz w:val="24"/>
          <w:szCs w:val="24"/>
          <w:rtl/>
        </w:rPr>
        <w:t>מאפייני מרחב הסייבר הם כאלה שלמעשה כח רב מצוי בידי</w:t>
      </w:r>
      <w:r w:rsidR="006C41F9" w:rsidRPr="006F452E">
        <w:rPr>
          <w:rFonts w:ascii="David" w:hAnsi="David" w:cs="David"/>
          <w:sz w:val="24"/>
          <w:szCs w:val="24"/>
          <w:rtl/>
        </w:rPr>
        <w:t>ה</w:t>
      </w:r>
      <w:r w:rsidRPr="006F452E">
        <w:rPr>
          <w:rFonts w:ascii="David" w:hAnsi="David" w:cs="David"/>
          <w:sz w:val="24"/>
          <w:szCs w:val="24"/>
          <w:rtl/>
        </w:rPr>
        <w:t>ם של תאגידים</w:t>
      </w:r>
      <w:r w:rsidR="006C41F9" w:rsidRPr="006F452E">
        <w:rPr>
          <w:rFonts w:ascii="David" w:hAnsi="David" w:cs="David"/>
          <w:sz w:val="24"/>
          <w:szCs w:val="24"/>
          <w:rtl/>
        </w:rPr>
        <w:t xml:space="preserve"> פרטיים</w:t>
      </w:r>
      <w:r w:rsidRPr="006F452E">
        <w:rPr>
          <w:rFonts w:ascii="David" w:hAnsi="David" w:cs="David"/>
          <w:sz w:val="24"/>
          <w:szCs w:val="24"/>
          <w:rtl/>
        </w:rPr>
        <w:t>, רובם תאגידים זרים</w:t>
      </w:r>
      <w:r w:rsidR="00A66447">
        <w:rPr>
          <w:rFonts w:ascii="David" w:hAnsi="David" w:cs="David" w:hint="cs"/>
          <w:sz w:val="24"/>
          <w:szCs w:val="24"/>
          <w:rtl/>
        </w:rPr>
        <w:t xml:space="preserve"> (</w:t>
      </w:r>
      <w:proofErr w:type="spellStart"/>
      <w:r w:rsidR="00A66447">
        <w:rPr>
          <w:rFonts w:ascii="David" w:hAnsi="David" w:cs="David" w:hint="cs"/>
          <w:sz w:val="24"/>
          <w:szCs w:val="24"/>
          <w:rtl/>
        </w:rPr>
        <w:t>פייסבוק</w:t>
      </w:r>
      <w:proofErr w:type="spellEnd"/>
      <w:r w:rsidR="00A66447">
        <w:rPr>
          <w:rFonts w:ascii="David" w:hAnsi="David" w:cs="David" w:hint="cs"/>
          <w:sz w:val="24"/>
          <w:szCs w:val="24"/>
          <w:rtl/>
        </w:rPr>
        <w:t xml:space="preserve">, גוגל, </w:t>
      </w:r>
      <w:proofErr w:type="spellStart"/>
      <w:r w:rsidR="00A66447">
        <w:rPr>
          <w:rFonts w:ascii="David" w:hAnsi="David" w:cs="David" w:hint="cs"/>
          <w:sz w:val="24"/>
          <w:szCs w:val="24"/>
          <w:rtl/>
        </w:rPr>
        <w:t>טויטר</w:t>
      </w:r>
      <w:proofErr w:type="spellEnd"/>
      <w:r w:rsidR="00A66447">
        <w:rPr>
          <w:rFonts w:ascii="David" w:hAnsi="David" w:cs="David" w:hint="cs"/>
          <w:sz w:val="24"/>
          <w:szCs w:val="24"/>
          <w:rtl/>
        </w:rPr>
        <w:t>)</w:t>
      </w:r>
      <w:r w:rsidRPr="006F452E">
        <w:rPr>
          <w:rFonts w:ascii="David" w:hAnsi="David" w:cs="David"/>
          <w:sz w:val="24"/>
          <w:szCs w:val="24"/>
          <w:rtl/>
        </w:rPr>
        <w:t xml:space="preserve"> שמטרתם היא עשיית רווח. </w:t>
      </w:r>
      <w:r w:rsidR="005E3361">
        <w:rPr>
          <w:rFonts w:ascii="David" w:hAnsi="David" w:cs="David" w:hint="cs"/>
          <w:sz w:val="24"/>
          <w:szCs w:val="24"/>
          <w:rtl/>
        </w:rPr>
        <w:t xml:space="preserve">כאשר </w:t>
      </w:r>
      <w:r w:rsidRPr="006F452E">
        <w:rPr>
          <w:rFonts w:ascii="David" w:hAnsi="David" w:cs="David"/>
          <w:sz w:val="24"/>
          <w:szCs w:val="24"/>
          <w:rtl/>
        </w:rPr>
        <w:t xml:space="preserve">אין לנו כל דרך לדעת מהם השיקולים שהחברות הפרטיות שוקלות כשהן נענות או מסרבות לבקשות אלה, ומהם יחסי הכוחות בין המדינה לחברות האלה </w:t>
      </w:r>
      <w:r w:rsidRPr="006F452E">
        <w:rPr>
          <w:rFonts w:ascii="David" w:hAnsi="David" w:cs="David"/>
          <w:sz w:val="24"/>
          <w:szCs w:val="24"/>
          <w:rtl/>
        </w:rPr>
        <w:lastRenderedPageBreak/>
        <w:t>בהקשרים רחבים יותר של רגולציה,</w:t>
      </w:r>
      <w:r w:rsidR="005E3361">
        <w:rPr>
          <w:rFonts w:ascii="David" w:hAnsi="David" w:cs="David" w:hint="cs"/>
          <w:sz w:val="24"/>
          <w:szCs w:val="24"/>
          <w:rtl/>
        </w:rPr>
        <w:t xml:space="preserve"> חשובה</w:t>
      </w:r>
      <w:r w:rsidRPr="006F452E">
        <w:rPr>
          <w:rFonts w:ascii="David" w:hAnsi="David" w:cs="David"/>
          <w:sz w:val="24"/>
          <w:szCs w:val="24"/>
          <w:rtl/>
        </w:rPr>
        <w:t xml:space="preserve"> </w:t>
      </w:r>
      <w:r w:rsidR="00A66447">
        <w:rPr>
          <w:rFonts w:ascii="David" w:hAnsi="David" w:cs="David" w:hint="cs"/>
          <w:sz w:val="24"/>
          <w:szCs w:val="24"/>
          <w:rtl/>
        </w:rPr>
        <w:t>ה</w:t>
      </w:r>
      <w:r w:rsidRPr="006F452E">
        <w:rPr>
          <w:rFonts w:ascii="David" w:hAnsi="David" w:cs="David"/>
          <w:sz w:val="24"/>
          <w:szCs w:val="24"/>
          <w:rtl/>
        </w:rPr>
        <w:t>שקיפות</w:t>
      </w:r>
      <w:r w:rsidR="00A66447">
        <w:rPr>
          <w:rFonts w:ascii="David" w:hAnsi="David" w:cs="David" w:hint="cs"/>
          <w:sz w:val="24"/>
          <w:szCs w:val="24"/>
          <w:rtl/>
        </w:rPr>
        <w:t xml:space="preserve"> מצד המדינה</w:t>
      </w:r>
      <w:r w:rsidR="005E3361">
        <w:rPr>
          <w:rFonts w:ascii="David" w:hAnsi="David" w:cs="David" w:hint="cs"/>
          <w:sz w:val="24"/>
          <w:szCs w:val="24"/>
          <w:rtl/>
        </w:rPr>
        <w:t xml:space="preserve"> בעת הנוכחית בה היא פועלת </w:t>
      </w:r>
      <w:r w:rsidRPr="006F452E">
        <w:rPr>
          <w:rFonts w:ascii="David" w:hAnsi="David" w:cs="David"/>
          <w:sz w:val="24"/>
          <w:szCs w:val="24"/>
          <w:rtl/>
        </w:rPr>
        <w:t xml:space="preserve">להסרה או </w:t>
      </w:r>
      <w:r w:rsidR="00015248">
        <w:rPr>
          <w:rFonts w:ascii="David" w:hAnsi="David" w:cs="David" w:hint="cs"/>
          <w:sz w:val="24"/>
          <w:szCs w:val="24"/>
          <w:rtl/>
        </w:rPr>
        <w:t xml:space="preserve">הפחתת תפוצה של </w:t>
      </w:r>
      <w:r w:rsidRPr="006F452E">
        <w:rPr>
          <w:rFonts w:ascii="David" w:hAnsi="David" w:cs="David"/>
          <w:sz w:val="24"/>
          <w:szCs w:val="24"/>
          <w:rtl/>
        </w:rPr>
        <w:t>תכ</w:t>
      </w:r>
      <w:r w:rsidR="006F452E" w:rsidRPr="006F452E">
        <w:rPr>
          <w:rFonts w:ascii="David" w:hAnsi="David" w:cs="David"/>
          <w:sz w:val="24"/>
          <w:szCs w:val="24"/>
          <w:rtl/>
        </w:rPr>
        <w:t>נים</w:t>
      </w:r>
      <w:r w:rsidR="00015248">
        <w:rPr>
          <w:rFonts w:ascii="David" w:hAnsi="David" w:cs="David" w:hint="cs"/>
          <w:sz w:val="24"/>
          <w:szCs w:val="24"/>
          <w:rtl/>
        </w:rPr>
        <w:t xml:space="preserve"> באינטרנט</w:t>
      </w:r>
      <w:r w:rsidR="006F452E" w:rsidRPr="006F452E">
        <w:rPr>
          <w:rFonts w:ascii="David" w:hAnsi="David" w:cs="David"/>
          <w:sz w:val="24"/>
          <w:szCs w:val="24"/>
          <w:rtl/>
        </w:rPr>
        <w:t xml:space="preserve">. </w:t>
      </w:r>
    </w:p>
    <w:sectPr w:rsidR="00D04E8A" w:rsidRPr="006F452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David">
    <w:panose1 w:val="020E0502060401010101"/>
    <w:charset w:val="00"/>
    <w:family w:val="swiss"/>
    <w:pitch w:val="variable"/>
    <w:sig w:usb0="00000803" w:usb1="00000000" w:usb2="00000000" w:usb3="00000000" w:csb0="0000002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E8A"/>
    <w:rsid w:val="00007CAB"/>
    <w:rsid w:val="00015248"/>
    <w:rsid w:val="00227207"/>
    <w:rsid w:val="003534F3"/>
    <w:rsid w:val="005E3361"/>
    <w:rsid w:val="006C41F9"/>
    <w:rsid w:val="006F452E"/>
    <w:rsid w:val="00851760"/>
    <w:rsid w:val="00A66447"/>
    <w:rsid w:val="00D04E8A"/>
    <w:rsid w:val="00D21FF2"/>
    <w:rsid w:val="00E94C18"/>
    <w:rsid w:val="00ED1304"/>
  </w:rsids>
  <m:mathPr>
    <m:mathFont m:val="Cambria Math"/>
    <m:brkBin m:val="before"/>
    <m:brkBinSub m:val="--"/>
    <m:smallFrac m:val="0"/>
    <m:dispDef/>
    <m:lMargin m:val="0"/>
    <m:rMargin m:val="0"/>
    <m:defJc m:val="centerGroup"/>
    <m:wrapIndent m:val="1440"/>
    <m:intLim m:val="subSup"/>
    <m:naryLim m:val="undOvr"/>
  </m:mathPr>
  <w:themeFontLang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67151"/>
  <w15:chartTrackingRefBased/>
  <w15:docId w15:val="{5CEAE6AA-147D-4E25-8984-28179E9E4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2089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12934D-6D68-48C4-89DF-43E9EBA95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510</Words>
  <Characters>2550</Characters>
  <Application>Microsoft Office Word</Application>
  <DocSecurity>0</DocSecurity>
  <Lines>21</Lines>
  <Paragraphs>6</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Yaffe</dc:creator>
  <cp:keywords/>
  <dc:description/>
  <cp:lastModifiedBy>רחלי חולתא אדרי</cp:lastModifiedBy>
  <cp:revision>2</cp:revision>
  <dcterms:created xsi:type="dcterms:W3CDTF">2021-04-11T13:32:00Z</dcterms:created>
  <dcterms:modified xsi:type="dcterms:W3CDTF">2021-04-11T13:32:00Z</dcterms:modified>
</cp:coreProperties>
</file>